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克州检察院</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检察院作为全州检察系统主管院，肩负着全州检察系统宏观调控工作，其主要工作职责：深入贯彻习近平新时代中国特色社会主义思想，深入贯彻党的路线方针政策和决策部署，聚焦社会稳定和长治久安总目标，统一全州检察机关思想和行动，坚持党对检察工作的绝对领导，坚决维护习近平总书记的核心地位，坚决维护党中央权威和集中统一领导。</w:t>
      </w:r>
      <w:r>
        <w:rPr>
          <w:rFonts w:hint="eastAsia" w:ascii="仿宋_GB2312" w:hAnsi="宋体" w:eastAsia="仿宋_GB2312"/>
          <w:b w:val="0"/>
          <w:bCs/>
          <w:sz w:val="32"/>
          <w:szCs w:val="32"/>
        </w:rPr>
        <w:cr/>
      </w:r>
      <w:r>
        <w:rPr>
          <w:rFonts w:hint="eastAsia" w:ascii="仿宋_GB2312" w:hAnsi="宋体" w:eastAsia="仿宋_GB2312"/>
          <w:b w:val="0"/>
          <w:bCs/>
          <w:sz w:val="32"/>
          <w:szCs w:val="32"/>
        </w:rPr>
        <w:t>　　依法向自治州人民代表大会及其常务委员会提出议案。</w:t>
      </w:r>
      <w:r>
        <w:rPr>
          <w:rFonts w:hint="eastAsia" w:ascii="仿宋_GB2312" w:hAnsi="宋体" w:eastAsia="仿宋_GB2312"/>
          <w:b w:val="0"/>
          <w:bCs/>
          <w:sz w:val="32"/>
          <w:szCs w:val="32"/>
        </w:rPr>
        <w:cr/>
      </w:r>
      <w:r>
        <w:rPr>
          <w:rFonts w:hint="eastAsia" w:ascii="仿宋_GB2312" w:hAnsi="宋体" w:eastAsia="仿宋_GB2312"/>
          <w:b w:val="0"/>
          <w:bCs/>
          <w:sz w:val="32"/>
          <w:szCs w:val="32"/>
        </w:rPr>
        <w:t>　　领导全州检察机关的工作，对基层人民检察院相关业务进行指导，贯彻检察工作方针，总体规划，部署检察工作任务。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依照法律规定对由自治州人民检察院直接受理的刑事案件行使侦查权，领导本地区各级人民检察院开展对依照法律规定由人民检察院直接受理的刑事案件的侦查工作。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对本地区重大刑事犯罪案件依法审查批准逮捕、决定逮捕、提起公诉，领导下级人民检察院开展对刑事犯罪案件的审查批准逮捕、决定逮捕、审查起诉工作。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应由自治州人民检察院承办的刑事、民事、行政诉讼活动及刑事、民事、行政判决和裁定等生效法律文书执行的法律监督工作，领导下级人民检察院对刑事、民事、行政诉讼活动及判决和裁定等生效法律执行的法律监督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本地区基层人民法院已发生法律效力，确有错误的判决和裁定，依法向克孜勒苏柯尔克孜自治州中级人民法院提出抗诉。负债对克孜勒苏柯尔克孜自治州中级人民法院已发生效力，确有错误的判决和裁定，依法提请自治区人民检察院向自治区高级人民法院提出抗诉。</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负责应由自治州人民检察院承办的提起公益诉讼工作，领导下级人民检察院开展提起公益诉讼工作。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受理向自治州人民检察院的控告申诉，领导下级人民检察院的控告申诉检察工作。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对下级人民检察院在行使检察权中作出的决定进行审查，纠正错误决定。</w:t>
      </w:r>
      <w:r>
        <w:rPr>
          <w:rFonts w:hint="eastAsia" w:ascii="仿宋_GB2312" w:hAnsi="宋体" w:eastAsia="仿宋_GB2312"/>
          <w:b w:val="0"/>
          <w:bCs/>
          <w:sz w:val="32"/>
          <w:szCs w:val="32"/>
        </w:rPr>
        <w:cr/>
      </w:r>
      <w:r>
        <w:rPr>
          <w:rFonts w:hint="eastAsia" w:ascii="仿宋_GB2312" w:hAnsi="宋体" w:eastAsia="仿宋_GB2312"/>
          <w:b w:val="0"/>
          <w:bCs/>
          <w:sz w:val="32"/>
          <w:szCs w:val="32"/>
        </w:rPr>
        <w:t>　　指导本地区检察机关的检察应用和理论研究工作。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负责自治州检察机关队伍建设和思想政治工作。领导本地区级人民检察院依法管理检察官及其他检察人员的工作，组织指导本地区检察机关教育培训工作。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协同克孜勒苏柯尔克孜自治州党委主管部门管理和考核基层人民检察院领导班子成员。</w:t>
      </w:r>
      <w:r>
        <w:rPr>
          <w:rFonts w:hint="eastAsia" w:ascii="仿宋_GB2312" w:hAnsi="宋体" w:eastAsia="仿宋_GB2312"/>
          <w:b w:val="0"/>
          <w:bCs/>
          <w:sz w:val="32"/>
          <w:szCs w:val="32"/>
        </w:rPr>
        <w:cr/>
      </w:r>
      <w:r>
        <w:rPr>
          <w:rFonts w:hint="eastAsia" w:ascii="仿宋_GB2312" w:hAnsi="宋体" w:eastAsia="仿宋_GB2312"/>
          <w:b w:val="0"/>
          <w:bCs/>
          <w:sz w:val="32"/>
          <w:szCs w:val="32"/>
        </w:rPr>
        <w:t>　　领导本地区各级人民检察院的检务督察工作。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规划和指导全州检察机关的财务装备工作，指导全州检察机关的检察技术信息工作。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克州人民检察院政法编制数51个，事业编数3个，实有人数60人，其中：在职 51人，增加9人（聘用书记员）； 退休44人，离休0人，增加或减少0人。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bookmarkStart w:id="1" w:name="_GoBack"/>
      <w:bookmarkEnd w:id="1"/>
      <w:r>
        <w:rPr>
          <w:rFonts w:hint="eastAsia" w:ascii="仿宋_GB2312" w:hAnsi="宋体" w:eastAsia="仿宋_GB2312"/>
          <w:b w:val="0"/>
          <w:bCs/>
          <w:sz w:val="32"/>
          <w:szCs w:val="32"/>
        </w:rPr>
        <w:cr/>
      </w:r>
      <w:r>
        <w:rPr>
          <w:rFonts w:hint="eastAsia" w:ascii="仿宋_GB2312" w:hAnsi="宋体" w:eastAsia="仿宋_GB2312"/>
          <w:b w:val="0"/>
          <w:bCs/>
          <w:sz w:val="32"/>
          <w:szCs w:val="32"/>
        </w:rPr>
        <w:t>　　（1）开展好先行一步常态化检察队伍教育整顿活动</w:t>
      </w:r>
      <w:r>
        <w:rPr>
          <w:rFonts w:hint="eastAsia" w:ascii="仿宋_GB2312" w:hAnsi="宋体" w:eastAsia="仿宋_GB2312"/>
          <w:b w:val="0"/>
          <w:bCs/>
          <w:sz w:val="32"/>
          <w:szCs w:val="32"/>
        </w:rPr>
        <w:cr/>
      </w:r>
      <w:r>
        <w:rPr>
          <w:rFonts w:hint="eastAsia" w:ascii="仿宋_GB2312" w:hAnsi="宋体" w:eastAsia="仿宋_GB2312"/>
          <w:b w:val="0"/>
          <w:bCs/>
          <w:sz w:val="32"/>
          <w:szCs w:val="32"/>
        </w:rPr>
        <w:t>　　认真贯彻落实最高检、自治区检察院和队伍教育整顿部署要求，紧密结合党风廉政教育月活动以及全年的党风廉政建设工作，坚持正风肃纪，持之以恒狠抓检察队伍建设，以刮骨疗毒式的自我革命、激浊扬清式的“延安整风”、铸魂扬威式的主题教育，切实清除检察队伍中的害群之马和整治顽瘴痼疾。</w:t>
      </w:r>
      <w:r>
        <w:rPr>
          <w:rFonts w:hint="eastAsia" w:ascii="仿宋_GB2312" w:hAnsi="宋体" w:eastAsia="仿宋_GB2312"/>
          <w:b w:val="0"/>
          <w:bCs/>
          <w:sz w:val="32"/>
          <w:szCs w:val="32"/>
        </w:rPr>
        <w:cr/>
      </w:r>
      <w:r>
        <w:rPr>
          <w:rFonts w:hint="eastAsia" w:ascii="仿宋_GB2312" w:hAnsi="宋体" w:eastAsia="仿宋_GB2312"/>
          <w:b w:val="0"/>
          <w:bCs/>
          <w:sz w:val="32"/>
          <w:szCs w:val="32"/>
        </w:rPr>
        <w:t>　　（2）坚定不移开展好严打斗争，维护社会大局稳定</w:t>
      </w:r>
      <w:r>
        <w:rPr>
          <w:rFonts w:hint="eastAsia" w:ascii="仿宋_GB2312" w:hAnsi="宋体" w:eastAsia="仿宋_GB2312"/>
          <w:b w:val="0"/>
          <w:bCs/>
          <w:sz w:val="32"/>
          <w:szCs w:val="32"/>
        </w:rPr>
        <w:cr/>
      </w:r>
      <w:r>
        <w:rPr>
          <w:rFonts w:hint="eastAsia" w:ascii="仿宋_GB2312" w:hAnsi="宋体" w:eastAsia="仿宋_GB2312"/>
          <w:b w:val="0"/>
          <w:bCs/>
          <w:sz w:val="32"/>
          <w:szCs w:val="32"/>
        </w:rPr>
        <w:t>　　牢固树立社会稳定和长治久安总目标，落实好自治区党委关于维稳“组合拳”的一系列决策部署，落实好县委及上级检察机关关于严打专项行动的各项工作部署，抓好严打斗争，保持高压态势，将严打工作继续深入推进，充分发挥检察职能，强化检察环节常态化维稳机制，全力以赴维护社会稳定，坚决打好“三仗一战”。</w:t>
      </w:r>
      <w:r>
        <w:rPr>
          <w:rFonts w:hint="eastAsia" w:ascii="仿宋_GB2312" w:hAnsi="宋体" w:eastAsia="仿宋_GB2312"/>
          <w:b w:val="0"/>
          <w:bCs/>
          <w:sz w:val="32"/>
          <w:szCs w:val="32"/>
        </w:rPr>
        <w:cr/>
      </w:r>
      <w:r>
        <w:rPr>
          <w:rFonts w:hint="eastAsia" w:ascii="仿宋_GB2312" w:hAnsi="宋体" w:eastAsia="仿宋_GB2312"/>
          <w:b w:val="0"/>
          <w:bCs/>
          <w:sz w:val="32"/>
          <w:szCs w:val="32"/>
        </w:rPr>
        <w:t>　　（3）做好民生建设和民族团结工作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继续做好“民族团结一家亲”结对亲属帮扶工作、“四同”住户工作，积极宣传党的惠民政策，解决困难家庭的就学、就医、就业等民生问题，切实增进干警和各族群众的交往交流，定期开展丰富多彩的联谊活动；落实好特殊困难家庭、困难家庭的“四同”入户工作，积极宣传法律法规，做到“摘帽不摘责任”，让特殊困难家庭和困难家庭感党恩、听党话、跟党走，将“民族团结一家亲”活动不断推向深入。</w:t>
      </w:r>
      <w:r>
        <w:rPr>
          <w:rFonts w:hint="eastAsia" w:ascii="仿宋_GB2312" w:hAnsi="宋体" w:eastAsia="仿宋_GB2312"/>
          <w:b w:val="0"/>
          <w:bCs/>
          <w:sz w:val="32"/>
          <w:szCs w:val="32"/>
        </w:rPr>
        <w:cr/>
      </w:r>
      <w:r>
        <w:rPr>
          <w:rFonts w:hint="eastAsia" w:ascii="仿宋_GB2312" w:hAnsi="宋体" w:eastAsia="仿宋_GB2312"/>
          <w:b w:val="0"/>
          <w:bCs/>
          <w:sz w:val="32"/>
          <w:szCs w:val="32"/>
        </w:rPr>
        <w:t>　　（4）强化法律监督，主动促进司法公平正义</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坚持办案组联席会议、科室讨论、检委会讨论案件制度，所有审查逮捕、提起公诉案件必须经过办案组讨论和科室讨论，凡不捕不诉、分歧较大、案情复杂或社会影响大的案件一律上检委会讨论决定，最大减少先入为主、坚持错误、一错到底等问题的发生。二是加强侦查活动监督，持续深化“两项监督”，对该立案而不立案、降格处理、以罚代刑等现象坚决予以纠正。同时抓好未检工作，深入开展以“维护国家安全统一，抵制极端思想和分裂思想”为主题的未成年人法治宣传，加强检校合作、检教合作，实现“法治进校园”常态化、制度化、规范化。三是切实加强刑事审判监督，严格落实量刑规范化建议，重点加强对同案不同判、量刑畸轻畸重的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（5）做好公益诉讼工作，突出固本、稳进，乘势发力</w:t>
      </w:r>
      <w:r>
        <w:rPr>
          <w:rFonts w:hint="eastAsia" w:ascii="仿宋_GB2312" w:hAnsi="宋体" w:eastAsia="仿宋_GB2312"/>
          <w:b w:val="0"/>
          <w:bCs/>
          <w:sz w:val="32"/>
          <w:szCs w:val="32"/>
        </w:rPr>
        <w:cr/>
      </w:r>
      <w:r>
        <w:rPr>
          <w:rFonts w:hint="eastAsia" w:ascii="仿宋_GB2312" w:hAnsi="宋体" w:eastAsia="仿宋_GB2312"/>
          <w:b w:val="0"/>
          <w:bCs/>
          <w:sz w:val="32"/>
          <w:szCs w:val="32"/>
        </w:rPr>
        <w:t>　　继续把公益诉讼工作列为“一把手”工程，将公益诉讼作为新形势下，检察监督职能新的增长点、新的工作亮点来谋划，持续在生态环境、资源保护、饮水安全、食品药品安全和非法侵占国有土地等领域多点发力，深化“新三项”、“老三项”专项整治，发挥检察职能，积极促进本地区生态环境及社会治安综合治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部门项目的立项依据充分，符合相关法规政策及部门职责，依据充分。符合行业发展和政策要求，与部门职责范围相符，属于部门履职所需。符合中央、地方事权支出责任划分原则。</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部门项目立项程序规范，项目严格按照规定的程序申请设立；审批文件、材料符合相关要求；项目前期已经过必要的可行性研究、专家论证、风险评估、绩效评估、集体决策。</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部门整体绩效目标设置合理，根据相关文件要求设置了整体绩效目标，整体项目绩效目标基本合理，与实际工作内容相关；预期产出效益和效果符合正常的业绩水平；与预算确定的项目投资额或资金量相匹配。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部门整体绩效指标明确，已将整体项目绩效目标细化分解为具体的绩效指标；可以通过清晰、可衡量的指标值予以体现；与整体项目目标任务数或计划数相对应。</w:t>
      </w:r>
      <w:r>
        <w:rPr>
          <w:rFonts w:hint="eastAsia" w:ascii="仿宋_GB2312" w:hAnsi="宋体" w:eastAsia="仿宋_GB2312"/>
          <w:b w:val="0"/>
          <w:bCs/>
          <w:sz w:val="32"/>
          <w:szCs w:val="32"/>
        </w:rPr>
        <w:cr/>
      </w:r>
      <w:r>
        <w:rPr>
          <w:rFonts w:hint="eastAsia" w:ascii="仿宋_GB2312" w:hAnsi="宋体" w:eastAsia="仿宋_GB2312"/>
          <w:b w:val="0"/>
          <w:bCs/>
          <w:sz w:val="32"/>
          <w:szCs w:val="32"/>
        </w:rPr>
        <w:t>　　预算编制科学，整体项目在资金投入方面，预算编制经过科学论证、有明确标准，资金额度与年度目标相适应，用以反映和考核项目预算编制的科学性、合理性情况。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资金分配合理，整体项目预算资金分配有测算依据，资金分配额度合理，与部门单位的实际情况相适应。</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综上，我单位本年各项工作能够做到部门项目的立项依据充分，部门项目立项程序规范，绩效目标设置合理，预算编制科学有效，资金分配合理。决策过程科学规范、实施有效。</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（三）项目资金分配</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预算编制和分配符合部门职责和任务要求，能根据年度工作重点，在不同项目、不同用途之间进行合理分配。整体绩效目标与预算确定的资金相匹配。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重点支出保障率用以反映和考核部门（单位）对履行主要职责或完成重点任务的保障程度。我单位本年主要实施联建工作经费等重点项目，履行了帮助解决生产生活中的实际困难。通过实施该项目，提高广大群众法律意识，民族团结意识。</w:t>
      </w:r>
      <w:r>
        <w:rPr>
          <w:rFonts w:hint="eastAsia" w:ascii="仿宋_GB2312" w:hAnsi="宋体" w:eastAsia="仿宋_GB2312"/>
          <w:b w:val="0"/>
          <w:bCs/>
          <w:sz w:val="32"/>
          <w:szCs w:val="32"/>
        </w:rPr>
        <w:cr/>
      </w:r>
      <w:r>
        <w:rPr>
          <w:rFonts w:hint="eastAsia" w:ascii="仿宋_GB2312" w:hAnsi="宋体" w:eastAsia="仿宋_GB2312"/>
          <w:b w:val="0"/>
          <w:bCs/>
          <w:sz w:val="32"/>
          <w:szCs w:val="32"/>
        </w:rPr>
        <w:t>　　本年度预算安排的重点项目支出17万元，项目总支出636.11万元，重点支出保障率为2.67%。</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（1）年初预算执行情况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我单位年初预算数为1650.37万元，实际预算执行数1650.37万元，预算执行率为100%。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（2）全年预算执行情况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全年预算数为2214.96万元，全年实际支出资金1945.84万元，预算执行率为87.85%。</w:t>
      </w:r>
      <w:r>
        <w:rPr>
          <w:rFonts w:hint="eastAsia" w:ascii="仿宋_GB2312" w:hAnsi="宋体" w:eastAsia="仿宋_GB2312"/>
          <w:b w:val="0"/>
          <w:bCs/>
          <w:sz w:val="32"/>
          <w:szCs w:val="32"/>
        </w:rPr>
        <w:cr/>
      </w:r>
      <w:r>
        <w:rPr>
          <w:rFonts w:hint="eastAsia" w:ascii="仿宋_GB2312" w:hAnsi="宋体" w:eastAsia="仿宋_GB2312"/>
          <w:b w:val="0"/>
          <w:bCs/>
          <w:sz w:val="32"/>
          <w:szCs w:val="32"/>
        </w:rPr>
        <w:t>　　2.预算调整情况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我单位年初批复预算数1650.37万元，年中调整数564.59万元，调整后全年预算数2214.96万元，预算调整率34.21%。</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3.政府采购执行情况 </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年初政府采购预算数为476.55万元，实际政府采购数为80.74万元，政府采购执行率为16.94%。</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（五）评价使用方法和主要内容、涉及范围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1.评价使用方法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2020〕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本单位为加强预算管理，规范财务行为，已制定《克州人民检察院预算绩效管理工作实施办法》，《财务管理制度》等健全完整的各项管理制度，有效保障了我单位高效的履行工作职能，较好的促进事业发展。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部门预算资金使用符合国家法规和财务管理制度；预算资金拨付有完整的审批程序和手续，符合项目预算批复或合同规定的用途；不存在截留、挤占、挪用、虚列支出等情况，确保我单位预算资金规范运行。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2021年本单位基本支出全年预算总额1578.85万元，其中：人员经费1113.66万元，公用经费465.19万元。实际支出1309.73万元，基本支出预算执行率82.95%。</w:t>
      </w:r>
      <w:r>
        <w:rPr>
          <w:rFonts w:hint="eastAsia" w:ascii="仿宋_GB2312" w:hAnsi="宋体" w:eastAsia="仿宋_GB2312"/>
          <w:b w:val="0"/>
          <w:bCs/>
          <w:sz w:val="32"/>
          <w:szCs w:val="32"/>
        </w:rPr>
        <w:cr/>
      </w:r>
      <w:r>
        <w:rPr>
          <w:rFonts w:hint="eastAsia" w:ascii="仿宋_GB2312" w:hAnsi="宋体" w:eastAsia="仿宋_GB2312"/>
          <w:b w:val="0"/>
          <w:bCs/>
          <w:sz w:val="32"/>
          <w:szCs w:val="32"/>
        </w:rPr>
        <w:t>　　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坚决贯彻落实中央、自治区、州党委厉行勤俭办公的工作要求，提倡本单位全体干部职工，勤俭节约，切实降低行政运行成本，确保每年“三公经费”只减不增。2021年“三公经费”预算为54万元，实际支出19.17万元，“三公经费”控制率为35.50%，其中：因公出国（境）费预算为0万元，实际支出0万元；公务接待费预算为4万元，实际支出1.03万元；公务用车购置费预算为0万元，实际支出0万元；公务用车运行维护费预算为50万元，实际支出17.99万元，公务用车运行维护费控制率35.98%，符合财政部门本年预算要求和相关管理制度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（三）专项支出管理和使用情况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专项资金的使用符合国家法规和财务管理制度，专项资金拨付有完整的审批程序和手续，符合项目预算批复或合同规定的用途，不存在截留、挤占、挪用、虚列支出等情况。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2021年本单位安排专项支出预算总额636.11万元，实际支出636.11万元，专项支出预算执行率100%。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自治区转移支付项目（涉密）全年预算数614.11万元，预算到位614.11万元，预算执行614.11万元，预算执行率100%；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联建工作经费项目全年预算数5万元，预算到位5万元，预算执行5万元，预算执行率100%；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为民办实事经费项目全年预算数17万元，预算到位17万元，预算执行17万元，预算执行率100%；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2021年除涉密项目我单位共有2个资金项目，其中2个属经常性项目、0个属当年度新增项目，已完成项目2个、未完成项目0个。</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年除涉密项目我单位实施专项项目2个，涉及金额22万元，其中：中央专项项目0个涉及金额0万元；自治区专项项目1个为民办实事经费及第一书记经费涉及金额17万元；州本级专项项目1个联建工作经费涉及金额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（一）项目专项组织情况分析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1.前期准备</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我单位成立专项支出绩效评价小组，成员如下：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吴津涛任评价组组长，绩效评价工作职责为负责全盘工作。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彭加设任评价组副组长，绩效评价工作职责为为对项目实施情况进行实地调查。</w:t>
      </w:r>
      <w:r>
        <w:rPr>
          <w:rFonts w:hint="eastAsia" w:ascii="仿宋_GB2312" w:hAnsi="宋体" w:eastAsia="仿宋_GB2312"/>
          <w:b w:val="0"/>
          <w:bCs/>
          <w:sz w:val="32"/>
          <w:szCs w:val="32"/>
        </w:rPr>
        <w:cr/>
      </w:r>
      <w:r>
        <w:rPr>
          <w:rFonts w:hint="eastAsia" w:ascii="仿宋_GB2312" w:hAnsi="宋体" w:eastAsia="仿宋_GB2312"/>
          <w:b w:val="0"/>
          <w:bCs/>
          <w:sz w:val="32"/>
          <w:szCs w:val="32"/>
        </w:rPr>
        <w:t>　　访惠聚工作队队员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r>
        <w:rPr>
          <w:rFonts w:hint="eastAsia" w:ascii="仿宋_GB2312" w:hAnsi="宋体" w:eastAsia="仿宋_GB2312"/>
          <w:b w:val="0"/>
          <w:bCs/>
          <w:sz w:val="32"/>
          <w:szCs w:val="32"/>
        </w:rPr>
        <w:cr/>
      </w:r>
      <w:r>
        <w:rPr>
          <w:rFonts w:hint="eastAsia" w:ascii="仿宋_GB2312" w:hAnsi="宋体" w:eastAsia="仿宋_GB2312"/>
          <w:b w:val="0"/>
          <w:bCs/>
          <w:sz w:val="32"/>
          <w:szCs w:val="32"/>
        </w:rPr>
        <w:t>　　2.组织实施</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1.项目资金情况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项目预算资金636.11万元，实际到位636.11万元，实际支出636.11万元。到位足额及时，预算编制依据充分，预算编制准确，资金不存在截留、挪用，支付审批合规、不存在用途改变、范围超支和虚列项目支出等情况；本项目严格按照《克州人民检察院财务管理制度》执行项目资金，实行专账核算、逐级审批。认真落实项目资金的使用各项管理制度，确保专款专用，及时拨付到位。</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2.项目实施情况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项目管理情况：根据《项目绩效管理办法》及单位相关项目管理制度的规定，对项目的实施进行监督管理。建立健全项目后续各项监督管理制度，确保项目正常运转，长期发挥效益。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项目监管情况：不定期对项目进度和质量等进行监督检查，并且组织开展多种形式的监督检查，以加强日常监管为主，自查、随机抽查、专项检查等方式进行。对检查中发现的问题，及时纠正。</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3.项目绩效情况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成本控制情况：严格按照相关的专项资金管理办法，实行多重审批控制专项经费的支出。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成本节约情况：项目根据实际情况做出合理预算，支出严格控制在预算范围内，本着节约成本，防止资源浪费的原则将项目成效最大化。</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4.项目效率性</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项目实施进度：项目实施紧扣各个环节，逐步推进，及时与职能部门跟踪项目进展，加强项目督办，充分调动职能部门的积极性，加大项目投入工作的力度，加快项目实施进度。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项目完成质量：项目严格按照年度预期目标执行，项目完成质量达标。</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5.项目效益性</w:t>
      </w:r>
      <w:r>
        <w:rPr>
          <w:rFonts w:hint="eastAsia" w:ascii="仿宋_GB2312" w:hAnsi="宋体" w:eastAsia="仿宋_GB2312"/>
          <w:b w:val="0"/>
          <w:bCs/>
          <w:sz w:val="32"/>
          <w:szCs w:val="32"/>
        </w:rPr>
        <w:cr/>
      </w:r>
      <w:r>
        <w:rPr>
          <w:rFonts w:hint="eastAsia" w:ascii="仿宋_GB2312" w:hAnsi="宋体" w:eastAsia="仿宋_GB2312"/>
          <w:b w:val="0"/>
          <w:bCs/>
          <w:sz w:val="32"/>
          <w:szCs w:val="32"/>
        </w:rPr>
        <w:t>　　预期目标完成程度：按预定目标完成了年初所设定的各项指标。专项经费实际支出未超出预算规定，保障了专项工作的开展。</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项目实施对效益的影响：项目的实施有效提升了培训人员的爱国主义意识，持续保障了培训工作的顺利开展。</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（一）资产管理规范性</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2021年资产合计数为3933.65万元，比上年减少652.39万元，主要原因是货币资金减少，其中：货币资金307.21万元，比上年减少652.39万元；财政应返还额度0万元，比上年相比无变化；房屋7013平方米1888.04万元，比上年相比无变化；车辆16辆358.54万元，与上年相比无变化；58个专用设备145.94万元，与上年相比无变化；2643个办公设备1233.92万元，与上年相比无变化。我单位本年无资产处置情况，资产配置合理，使用规范，安全完整。</w:t>
      </w:r>
      <w:r>
        <w:rPr>
          <w:rFonts w:hint="eastAsia" w:ascii="仿宋_GB2312" w:hAnsi="宋体" w:eastAsia="仿宋_GB2312"/>
          <w:b w:val="0"/>
          <w:bCs/>
          <w:sz w:val="32"/>
          <w:szCs w:val="32"/>
        </w:rPr>
        <w:cr/>
      </w:r>
      <w:r>
        <w:rPr>
          <w:rFonts w:hint="eastAsia" w:ascii="仿宋_GB2312" w:hAnsi="宋体" w:eastAsia="仿宋_GB2312"/>
          <w:b w:val="0"/>
          <w:bCs/>
          <w:sz w:val="32"/>
          <w:szCs w:val="32"/>
        </w:rPr>
        <w:t>　　1.资产管理情况。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r>
        <w:rPr>
          <w:rFonts w:hint="eastAsia" w:ascii="仿宋_GB2312" w:hAnsi="宋体" w:eastAsia="仿宋_GB2312"/>
          <w:b w:val="0"/>
          <w:bCs/>
          <w:sz w:val="32"/>
          <w:szCs w:val="32"/>
        </w:rPr>
        <w:cr/>
      </w:r>
      <w:r>
        <w:rPr>
          <w:rFonts w:hint="eastAsia" w:ascii="仿宋_GB2312" w:hAnsi="宋体" w:eastAsia="仿宋_GB2312"/>
          <w:b w:val="0"/>
          <w:bCs/>
          <w:sz w:val="32"/>
          <w:szCs w:val="32"/>
        </w:rPr>
        <w:t>　　2.固定资产利用情况。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我单位固定资产3626.44万元,其中:1套房屋1888.04万元，16辆车358.54万元，58个专用设备145.94万元，2643个办公设备1233.92万元。目前正在使用的固定资产总额3626.44万元，固定资产利用率为100%。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3.流动资产管理情况。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r>
        <w:rPr>
          <w:rFonts w:hint="eastAsia" w:ascii="仿宋_GB2312" w:hAnsi="宋体" w:eastAsia="仿宋_GB2312"/>
          <w:b w:val="0"/>
          <w:bCs/>
          <w:sz w:val="32"/>
          <w:szCs w:val="32"/>
        </w:rPr>
        <w:cr/>
      </w:r>
      <w:r>
        <w:rPr>
          <w:rFonts w:hint="eastAsia" w:ascii="仿宋_GB2312" w:hAnsi="宋体" w:eastAsia="仿宋_GB2312"/>
          <w:b w:val="0"/>
          <w:bCs/>
          <w:sz w:val="32"/>
          <w:szCs w:val="32"/>
        </w:rPr>
        <w:t>　　（二）固定资产利用率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截止本年度固定资产账面净值3626.44万元，年末实际在用固定资产3626.44万元，固定资产利用率为100%。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部门单位整体支出自评表，共设置一级指标3个，二级指标8个，三级指标14个。</w:t>
      </w:r>
      <w:r>
        <w:rPr>
          <w:rFonts w:hint="eastAsia" w:ascii="仿宋_GB2312" w:hAnsi="宋体" w:eastAsia="仿宋_GB2312"/>
          <w:b w:val="0"/>
          <w:bCs/>
          <w:sz w:val="32"/>
          <w:szCs w:val="32"/>
        </w:rPr>
        <w:cr/>
      </w:r>
      <w:r>
        <w:rPr>
          <w:rFonts w:hint="eastAsia" w:ascii="仿宋_GB2312" w:hAnsi="宋体" w:eastAsia="仿宋_GB2312"/>
          <w:b w:val="0"/>
          <w:bCs/>
          <w:sz w:val="32"/>
          <w:szCs w:val="32"/>
        </w:rPr>
        <w:t>　　（一）产出指标完成情况分析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1.产出数量</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保障人员人数，预期指标是60人，实际完成值是60人，达成预期目标。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执行案件数量，预期指标是1300个，实际完成值是1300个，达成预期目标。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群众工作点办好事事实，预期指标是10次，实际完成值是10次，达成预期目标。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数量指标共计3个，完成3个，达到预期目标，数量指标完成。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2.产出质量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执行结案率，预期指标是100%，实际完成值是100%，达成预期目标。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质量指标共计1个，完成1个，达到质量提升及标准。质量指标完成。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3.产出进度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职工工资发放及时率，预期指标是100%，实际完成值是100%，达成预期目标。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开展活动及时率，预期指标是100%，实际完成值是100%，达成预期目标。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时效指标共计2个，完成2个，达达到预期目标，数量指标完成。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4.产出成本</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公用经费，预期指标是930.34万元，实际完成值是930.34万元，达成预期目标。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项目支出，预期指标是5万元，实际完成值是5万元，达成预期目标。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人员经费，预期指标是715.03万元，实际完成值是715.03万元，达成预期目标。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成本指标共计3个，完成3个，达到成本控制及改善目标，成本指标完成。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1.项目实施的经济效益分析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通过该项目的实施，减轻受助人员生活压力，预期指标是有效减轻，实际完成值是有效减轻，达成预期目标。经济效益指标完成。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2.项目实施的社会效益分析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保障职工日常生活，预期指标是持续改善，实际完成值是持续改善，达成预期目标。社会效益指标完成。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3.项目实施的生态效益分析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4.项目实施的可持续影响分析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维护社会稳定和长治久安，预期指标是长期，实际完成值是长期，达成预期目标。可持续影响指标完成。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（三）满意度指标完成情况分析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95%，指标完成率是95%，达到受益职工满意度对部门履职效果的满意度。服务对象满意度指标完成。</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2B260E"/>
    <w:rsid w:val="24B86128"/>
    <w:rsid w:val="4DEE606C"/>
    <w:rsid w:val="50C42626"/>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2022-05-23T13:45:42Z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